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</w:t>
      </w:r>
      <w:r w:rsidRPr="009E5EA9">
        <w:rPr>
          <w:sz w:val="24"/>
          <w:szCs w:val="24"/>
        </w:rPr>
        <w:lastRenderedPageBreak/>
        <w:t>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8E23C4">
        <w:rPr>
          <w:b/>
          <w:sz w:val="24"/>
          <w:szCs w:val="24"/>
        </w:rPr>
        <w:t>27</w:t>
      </w:r>
      <w:r w:rsidR="00120B1E">
        <w:rPr>
          <w:b/>
          <w:sz w:val="24"/>
          <w:szCs w:val="24"/>
        </w:rPr>
        <w:t xml:space="preserve"> </w:t>
      </w:r>
      <w:r w:rsidR="008E23C4">
        <w:rPr>
          <w:b/>
          <w:sz w:val="24"/>
          <w:szCs w:val="24"/>
        </w:rPr>
        <w:t>мая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6D0829">
        <w:rPr>
          <w:b/>
          <w:sz w:val="24"/>
          <w:szCs w:val="24"/>
        </w:rPr>
        <w:t>1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8E23C4">
        <w:rPr>
          <w:b/>
          <w:sz w:val="24"/>
          <w:szCs w:val="24"/>
        </w:rPr>
        <w:t>28 июня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Pr="006D0829">
        <w:rPr>
          <w:b/>
          <w:sz w:val="24"/>
          <w:szCs w:val="24"/>
        </w:rPr>
        <w:t>аукциона –</w:t>
      </w:r>
      <w:r w:rsidR="00DE6501" w:rsidRPr="006D0829">
        <w:rPr>
          <w:b/>
          <w:sz w:val="24"/>
          <w:szCs w:val="24"/>
        </w:rPr>
        <w:t xml:space="preserve"> </w:t>
      </w:r>
      <w:r w:rsidR="008E23C4">
        <w:rPr>
          <w:b/>
          <w:sz w:val="24"/>
          <w:szCs w:val="24"/>
        </w:rPr>
        <w:t>01 июля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8E23C4">
        <w:rPr>
          <w:b/>
          <w:sz w:val="24"/>
          <w:szCs w:val="24"/>
        </w:rPr>
        <w:t>06 июля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8E23C4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623C"/>
    <w:rsid w:val="00DC2E81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D52A-7C90-456E-9900-84C1E24B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64</cp:revision>
  <cp:lastPrinted>2018-03-01T09:21:00Z</cp:lastPrinted>
  <dcterms:created xsi:type="dcterms:W3CDTF">2019-05-27T07:34:00Z</dcterms:created>
  <dcterms:modified xsi:type="dcterms:W3CDTF">2021-05-21T07:37:00Z</dcterms:modified>
</cp:coreProperties>
</file>